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CF81" w14:textId="77777777" w:rsidR="00785FD9" w:rsidRPr="00D27FAA" w:rsidRDefault="00785FD9">
      <w:pPr>
        <w:rPr>
          <w:b/>
          <w:sz w:val="20"/>
          <w:szCs w:val="20"/>
        </w:rPr>
      </w:pPr>
      <w:bookmarkStart w:id="0" w:name="_GoBack"/>
      <w:bookmarkEnd w:id="0"/>
      <w:r w:rsidRPr="00D27FAA">
        <w:rPr>
          <w:b/>
          <w:sz w:val="20"/>
          <w:szCs w:val="20"/>
        </w:rPr>
        <w:t xml:space="preserve">Care For The Future: </w:t>
      </w:r>
      <w:r w:rsidRPr="00D27FAA">
        <w:rPr>
          <w:b/>
          <w:i/>
          <w:sz w:val="20"/>
          <w:szCs w:val="20"/>
        </w:rPr>
        <w:t>Humanitarianism 2.0</w:t>
      </w:r>
    </w:p>
    <w:p w14:paraId="2F454E26" w14:textId="77777777" w:rsidR="009B351A" w:rsidRPr="00D27FAA" w:rsidRDefault="00785FD9">
      <w:pPr>
        <w:rPr>
          <w:sz w:val="20"/>
          <w:szCs w:val="20"/>
        </w:rPr>
      </w:pPr>
      <w:r w:rsidRPr="00D27FAA">
        <w:rPr>
          <w:sz w:val="20"/>
          <w:szCs w:val="20"/>
        </w:rPr>
        <w:t>Project outcomes</w:t>
      </w:r>
    </w:p>
    <w:p w14:paraId="10D3C9D2" w14:textId="77777777" w:rsidR="00785FD9" w:rsidRPr="00D27FAA" w:rsidRDefault="00785FD9">
      <w:pPr>
        <w:rPr>
          <w:sz w:val="20"/>
          <w:szCs w:val="20"/>
        </w:rPr>
      </w:pPr>
    </w:p>
    <w:p w14:paraId="27F231BE" w14:textId="77777777" w:rsidR="0087523C" w:rsidRPr="00D27FAA" w:rsidRDefault="00600D2F" w:rsidP="0087523C">
      <w:pPr>
        <w:rPr>
          <w:b/>
          <w:sz w:val="20"/>
          <w:szCs w:val="20"/>
          <w:lang w:eastAsia="ja-JP"/>
        </w:rPr>
      </w:pPr>
      <w:r w:rsidRPr="00D27FAA">
        <w:rPr>
          <w:b/>
          <w:sz w:val="20"/>
          <w:szCs w:val="20"/>
          <w:lang w:eastAsia="ja-JP"/>
        </w:rPr>
        <w:t>Collaborative literature review</w:t>
      </w:r>
    </w:p>
    <w:p w14:paraId="116AFF32" w14:textId="77777777" w:rsidR="00785FD9" w:rsidRPr="00D27FAA" w:rsidRDefault="00785FD9" w:rsidP="0087523C">
      <w:pPr>
        <w:rPr>
          <w:sz w:val="20"/>
          <w:szCs w:val="20"/>
          <w:lang w:eastAsia="ja-JP"/>
        </w:rPr>
      </w:pPr>
      <w:r w:rsidRPr="00D27FAA">
        <w:rPr>
          <w:sz w:val="20"/>
          <w:szCs w:val="20"/>
          <w:lang w:eastAsia="ja-JP"/>
        </w:rPr>
        <w:t xml:space="preserve">Each partner contributed to the creation and collation of a literature and project review on social media and Web 2.0 technologies and situations of disaster, war, or unrest. </w:t>
      </w:r>
    </w:p>
    <w:p w14:paraId="50CCEB58" w14:textId="77777777" w:rsidR="0087523C" w:rsidRPr="00D27FAA" w:rsidRDefault="0087523C" w:rsidP="0087523C">
      <w:pPr>
        <w:rPr>
          <w:sz w:val="20"/>
          <w:szCs w:val="20"/>
          <w:lang w:eastAsia="ja-JP"/>
        </w:rPr>
      </w:pPr>
    </w:p>
    <w:p w14:paraId="606D6210" w14:textId="77777777" w:rsidR="0087523C" w:rsidRPr="00D27FAA" w:rsidRDefault="0087523C" w:rsidP="0087523C">
      <w:pPr>
        <w:rPr>
          <w:b/>
          <w:sz w:val="20"/>
          <w:szCs w:val="20"/>
          <w:lang w:eastAsia="ja-JP"/>
        </w:rPr>
      </w:pPr>
      <w:r w:rsidRPr="00D27FAA">
        <w:rPr>
          <w:b/>
          <w:sz w:val="20"/>
          <w:szCs w:val="20"/>
          <w:lang w:eastAsia="ja-JP"/>
        </w:rPr>
        <w:t>Networking meetings</w:t>
      </w:r>
    </w:p>
    <w:p w14:paraId="5F57EA82" w14:textId="0856CF2A" w:rsidR="00600D2F" w:rsidRPr="00D27FAA" w:rsidRDefault="00600D2F" w:rsidP="0087523C">
      <w:pPr>
        <w:rPr>
          <w:sz w:val="20"/>
          <w:szCs w:val="20"/>
          <w:lang w:eastAsia="ja-JP"/>
        </w:rPr>
      </w:pPr>
      <w:r w:rsidRPr="00D27FAA">
        <w:rPr>
          <w:sz w:val="20"/>
          <w:szCs w:val="20"/>
          <w:lang w:eastAsia="ja-JP"/>
        </w:rPr>
        <w:t>Four meetings</w:t>
      </w:r>
      <w:r w:rsidR="00785FD9" w:rsidRPr="00D27FAA">
        <w:rPr>
          <w:sz w:val="20"/>
          <w:szCs w:val="20"/>
          <w:lang w:eastAsia="ja-JP"/>
        </w:rPr>
        <w:t xml:space="preserve"> between partners </w:t>
      </w:r>
      <w:r w:rsidRPr="00D27FAA">
        <w:rPr>
          <w:sz w:val="20"/>
          <w:szCs w:val="20"/>
          <w:lang w:eastAsia="ja-JP"/>
        </w:rPr>
        <w:t>took</w:t>
      </w:r>
      <w:r w:rsidR="00785FD9" w:rsidRPr="00D27FAA">
        <w:rPr>
          <w:sz w:val="20"/>
          <w:szCs w:val="20"/>
          <w:lang w:eastAsia="ja-JP"/>
        </w:rPr>
        <w:t xml:space="preserve"> place over the 9 months of the project. </w:t>
      </w:r>
      <w:r w:rsidRPr="00D27FAA">
        <w:rPr>
          <w:sz w:val="20"/>
          <w:szCs w:val="20"/>
          <w:lang w:eastAsia="ja-JP"/>
        </w:rPr>
        <w:t xml:space="preserve">These meetings discussed </w:t>
      </w:r>
      <w:r w:rsidR="00785FD9" w:rsidRPr="00D27FAA">
        <w:rPr>
          <w:sz w:val="20"/>
          <w:szCs w:val="20"/>
          <w:lang w:eastAsia="ja-JP"/>
        </w:rPr>
        <w:t xml:space="preserve">theoretical perspectives, practical experiences, </w:t>
      </w:r>
      <w:r w:rsidR="002F53A5">
        <w:rPr>
          <w:sz w:val="20"/>
          <w:szCs w:val="20"/>
          <w:lang w:eastAsia="ja-JP"/>
        </w:rPr>
        <w:t xml:space="preserve">and </w:t>
      </w:r>
      <w:r w:rsidR="00785FD9" w:rsidRPr="00D27FAA">
        <w:rPr>
          <w:sz w:val="20"/>
          <w:szCs w:val="20"/>
          <w:lang w:eastAsia="ja-JP"/>
        </w:rPr>
        <w:t>explore</w:t>
      </w:r>
      <w:r w:rsidR="002F53A5">
        <w:rPr>
          <w:sz w:val="20"/>
          <w:szCs w:val="20"/>
          <w:lang w:eastAsia="ja-JP"/>
        </w:rPr>
        <w:t>d</w:t>
      </w:r>
      <w:r w:rsidR="00785FD9" w:rsidRPr="00D27FAA">
        <w:rPr>
          <w:sz w:val="20"/>
          <w:szCs w:val="20"/>
          <w:lang w:eastAsia="ja-JP"/>
        </w:rPr>
        <w:t xml:space="preserve"> points of similarity. </w:t>
      </w:r>
      <w:r w:rsidRPr="00D27FAA">
        <w:rPr>
          <w:sz w:val="20"/>
          <w:szCs w:val="20"/>
          <w:lang w:eastAsia="ja-JP"/>
        </w:rPr>
        <w:t>Participants joined the meetings in Manchester in person and via Skype.</w:t>
      </w:r>
    </w:p>
    <w:p w14:paraId="4ACC703E" w14:textId="77777777" w:rsidR="0087523C" w:rsidRPr="00D27FAA" w:rsidRDefault="0087523C" w:rsidP="0087523C">
      <w:pPr>
        <w:rPr>
          <w:sz w:val="20"/>
          <w:szCs w:val="20"/>
          <w:lang w:eastAsia="ja-JP"/>
        </w:rPr>
      </w:pPr>
    </w:p>
    <w:p w14:paraId="1FFACD65" w14:textId="77777777" w:rsidR="0087523C" w:rsidRPr="00D27FAA" w:rsidRDefault="0087523C" w:rsidP="0087523C">
      <w:pPr>
        <w:rPr>
          <w:b/>
          <w:sz w:val="20"/>
          <w:szCs w:val="20"/>
          <w:lang w:eastAsia="ja-JP"/>
        </w:rPr>
      </w:pPr>
      <w:r w:rsidRPr="00D27FAA">
        <w:rPr>
          <w:b/>
          <w:sz w:val="20"/>
          <w:szCs w:val="20"/>
          <w:lang w:eastAsia="ja-JP"/>
        </w:rPr>
        <w:t>Case study reports</w:t>
      </w:r>
    </w:p>
    <w:p w14:paraId="73A6717B" w14:textId="77777777" w:rsidR="0087523C" w:rsidRPr="00D27FAA" w:rsidRDefault="0087523C" w:rsidP="0087523C">
      <w:pPr>
        <w:rPr>
          <w:sz w:val="20"/>
          <w:szCs w:val="20"/>
          <w:lang w:eastAsia="ja-JP"/>
        </w:rPr>
      </w:pPr>
      <w:r w:rsidRPr="00D27FAA">
        <w:rPr>
          <w:sz w:val="20"/>
          <w:szCs w:val="20"/>
          <w:lang w:eastAsia="ja-JP"/>
        </w:rPr>
        <w:t>Five</w:t>
      </w:r>
      <w:r w:rsidR="00785FD9" w:rsidRPr="00D27FAA">
        <w:rPr>
          <w:sz w:val="20"/>
          <w:szCs w:val="20"/>
          <w:lang w:eastAsia="ja-JP"/>
        </w:rPr>
        <w:t xml:space="preserve"> case study reports </w:t>
      </w:r>
      <w:r w:rsidR="00600D2F" w:rsidRPr="00D27FAA">
        <w:rPr>
          <w:sz w:val="20"/>
          <w:szCs w:val="20"/>
          <w:lang w:eastAsia="ja-JP"/>
        </w:rPr>
        <w:t>were</w:t>
      </w:r>
      <w:r w:rsidR="00785FD9" w:rsidRPr="00D27FAA">
        <w:rPr>
          <w:sz w:val="20"/>
          <w:szCs w:val="20"/>
          <w:lang w:eastAsia="ja-JP"/>
        </w:rPr>
        <w:t xml:space="preserve"> commissioned by </w:t>
      </w:r>
      <w:r w:rsidR="00600D2F" w:rsidRPr="00D27FAA">
        <w:rPr>
          <w:sz w:val="20"/>
          <w:szCs w:val="20"/>
          <w:lang w:eastAsia="ja-JP"/>
        </w:rPr>
        <w:t xml:space="preserve">the </w:t>
      </w:r>
      <w:r w:rsidR="00785FD9" w:rsidRPr="00D27FAA">
        <w:rPr>
          <w:sz w:val="20"/>
          <w:szCs w:val="20"/>
          <w:lang w:eastAsia="ja-JP"/>
        </w:rPr>
        <w:t>project</w:t>
      </w:r>
      <w:r w:rsidR="00600D2F" w:rsidRPr="00D27FAA">
        <w:rPr>
          <w:sz w:val="20"/>
          <w:szCs w:val="20"/>
          <w:lang w:eastAsia="ja-JP"/>
        </w:rPr>
        <w:t xml:space="preserve">. The reports were developed out of fieldwork in each of the territories and a summary of the reports was written, identifying themes between the case studies. </w:t>
      </w:r>
    </w:p>
    <w:p w14:paraId="535C7B10" w14:textId="77777777" w:rsidR="0087523C" w:rsidRPr="00D27FAA" w:rsidRDefault="0087523C" w:rsidP="0087523C">
      <w:pPr>
        <w:rPr>
          <w:sz w:val="20"/>
          <w:szCs w:val="20"/>
          <w:lang w:eastAsia="ja-JP"/>
        </w:rPr>
      </w:pPr>
    </w:p>
    <w:p w14:paraId="1DE9E690" w14:textId="77777777" w:rsidR="00785FD9" w:rsidRPr="00D27FAA" w:rsidRDefault="00785FD9" w:rsidP="0087523C">
      <w:pPr>
        <w:rPr>
          <w:sz w:val="20"/>
          <w:szCs w:val="20"/>
          <w:lang w:eastAsia="ja-JP"/>
        </w:rPr>
      </w:pPr>
      <w:r w:rsidRPr="00D27FAA">
        <w:rPr>
          <w:sz w:val="20"/>
          <w:szCs w:val="20"/>
          <w:lang w:eastAsia="ja-JP"/>
        </w:rPr>
        <w:t xml:space="preserve">The five commissions </w:t>
      </w:r>
      <w:r w:rsidR="00600D2F" w:rsidRPr="00D27FAA">
        <w:rPr>
          <w:sz w:val="20"/>
          <w:szCs w:val="20"/>
          <w:lang w:eastAsia="ja-JP"/>
        </w:rPr>
        <w:t>were</w:t>
      </w:r>
      <w:r w:rsidRPr="00D27FAA">
        <w:rPr>
          <w:sz w:val="20"/>
          <w:szCs w:val="20"/>
          <w:lang w:eastAsia="ja-JP"/>
        </w:rPr>
        <w:t>:</w:t>
      </w:r>
    </w:p>
    <w:p w14:paraId="313EDC4F" w14:textId="77777777" w:rsidR="00785FD9" w:rsidRPr="00D27FAA" w:rsidRDefault="0087523C" w:rsidP="00785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/>
          <w:i/>
          <w:sz w:val="20"/>
          <w:szCs w:val="20"/>
          <w:lang w:val="en-US" w:eastAsia="ja-JP"/>
        </w:rPr>
      </w:pPr>
      <w:proofErr w:type="spellStart"/>
      <w:r w:rsidRPr="00D27FAA">
        <w:rPr>
          <w:rFonts w:asciiTheme="minorHAnsi" w:hAnsiTheme="minorHAnsi"/>
          <w:sz w:val="20"/>
          <w:szCs w:val="20"/>
          <w:lang w:val="en-US" w:eastAsia="ja-JP"/>
        </w:rPr>
        <w:t>Checkdesk</w:t>
      </w:r>
      <w:proofErr w:type="spellEnd"/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: Sorting, Developing and Disseminating Citizen Reporting in the MENA Region. </w:t>
      </w:r>
      <w:r w:rsidR="00785FD9" w:rsidRPr="00D27FAA">
        <w:rPr>
          <w:rFonts w:asciiTheme="minorHAnsi" w:hAnsiTheme="minorHAnsi"/>
          <w:sz w:val="20"/>
          <w:szCs w:val="20"/>
          <w:lang w:val="en-US" w:eastAsia="ja-JP"/>
        </w:rPr>
        <w:t xml:space="preserve">(key partner – the </w:t>
      </w:r>
      <w:r w:rsidR="00785FD9" w:rsidRPr="00D27FAA">
        <w:rPr>
          <w:rFonts w:asciiTheme="minorHAnsi" w:hAnsiTheme="minorHAnsi"/>
          <w:color w:val="0E0E0E"/>
          <w:sz w:val="20"/>
          <w:szCs w:val="20"/>
          <w:lang w:val="en-US" w:eastAsia="ja-JP"/>
        </w:rPr>
        <w:t>Interactive Cultures Research Centre, Birmingham City University</w:t>
      </w:r>
      <w:r w:rsidR="00785FD9" w:rsidRPr="00D27FAA">
        <w:rPr>
          <w:rFonts w:asciiTheme="minorHAnsi" w:hAnsiTheme="minorHAnsi"/>
          <w:sz w:val="20"/>
          <w:szCs w:val="20"/>
          <w:lang w:val="en-US" w:eastAsia="ja-JP"/>
        </w:rPr>
        <w:t xml:space="preserve">) – </w:t>
      </w:r>
      <w:r w:rsidR="00D27FAA" w:rsidRPr="00D27FAA">
        <w:rPr>
          <w:rFonts w:asciiTheme="minorHAnsi" w:hAnsiTheme="minorHAnsi"/>
          <w:i/>
          <w:sz w:val="20"/>
          <w:szCs w:val="20"/>
          <w:lang w:val="en-US" w:eastAsia="ja-JP"/>
        </w:rPr>
        <w:t>*note, the original</w:t>
      </w:r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 xml:space="preserve"> case study ‘Social Media and the Arab Spring’ could not be explored due to travel restrictions to Egypt during the research period.</w:t>
      </w:r>
    </w:p>
    <w:p w14:paraId="53968CCD" w14:textId="77777777" w:rsidR="00785FD9" w:rsidRPr="00D27FAA" w:rsidRDefault="00785FD9" w:rsidP="00785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0"/>
          <w:szCs w:val="20"/>
          <w:lang w:val="en-US" w:eastAsia="ja-JP"/>
        </w:rPr>
      </w:pPr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Twitter and the riots in UK (key partner – </w:t>
      </w:r>
      <w:r w:rsidR="0087523C" w:rsidRPr="00D27FAA">
        <w:rPr>
          <w:rFonts w:asciiTheme="minorHAnsi" w:hAnsiTheme="minorHAnsi"/>
          <w:sz w:val="20"/>
          <w:szCs w:val="20"/>
          <w:lang w:val="en-US" w:eastAsia="ja-JP"/>
        </w:rPr>
        <w:t>University of Warwick</w:t>
      </w:r>
      <w:r w:rsidRPr="00D27FAA">
        <w:rPr>
          <w:rFonts w:asciiTheme="minorHAnsi" w:hAnsiTheme="minorHAnsi"/>
          <w:sz w:val="20"/>
          <w:szCs w:val="20"/>
          <w:lang w:val="en-US" w:eastAsia="ja-JP"/>
        </w:rPr>
        <w:t>) – the impact of twitter on the shape and policing response to the 2011 riots, and the lessons for public policy.</w:t>
      </w:r>
    </w:p>
    <w:p w14:paraId="51A486F6" w14:textId="055629A5" w:rsidR="00785FD9" w:rsidRPr="00D27FAA" w:rsidRDefault="00D27FAA" w:rsidP="00D27F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 w:rsidRPr="00D27FAA">
        <w:rPr>
          <w:rFonts w:asciiTheme="minorHAnsi" w:hAnsiTheme="minorHAnsi"/>
          <w:sz w:val="20"/>
          <w:szCs w:val="20"/>
        </w:rPr>
        <w:t>Uchaguzi</w:t>
      </w:r>
      <w:proofErr w:type="spellEnd"/>
      <w:r w:rsidRPr="00D27FAA">
        <w:rPr>
          <w:rFonts w:asciiTheme="minorHAnsi" w:hAnsiTheme="minorHAnsi"/>
          <w:sz w:val="20"/>
          <w:szCs w:val="20"/>
        </w:rPr>
        <w:t xml:space="preserve"> Kenya 2013 – citizens monitoring elections through SMS and web platforms</w:t>
      </w:r>
      <w:r w:rsidRPr="00D27FAA">
        <w:rPr>
          <w:rFonts w:asciiTheme="minorHAnsi" w:hAnsiTheme="minorHAnsi"/>
          <w:b/>
          <w:sz w:val="20"/>
          <w:szCs w:val="20"/>
        </w:rPr>
        <w:t xml:space="preserve"> </w:t>
      </w:r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(key partner – </w:t>
      </w:r>
      <w:proofErr w:type="spellStart"/>
      <w:r w:rsidRPr="00D27FAA">
        <w:rPr>
          <w:rFonts w:asciiTheme="minorHAnsi" w:hAnsiTheme="minorHAnsi"/>
          <w:sz w:val="20"/>
          <w:szCs w:val="20"/>
          <w:lang w:val="en-US" w:eastAsia="ja-JP"/>
        </w:rPr>
        <w:t>Ushahidi</w:t>
      </w:r>
      <w:proofErr w:type="spellEnd"/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) </w:t>
      </w:r>
      <w:r w:rsidRPr="00D27FAA">
        <w:rPr>
          <w:rFonts w:asciiTheme="minorHAnsi" w:hAnsiTheme="minorHAnsi"/>
          <w:b/>
          <w:sz w:val="20"/>
          <w:szCs w:val="20"/>
        </w:rPr>
        <w:t xml:space="preserve"> </w:t>
      </w:r>
      <w:r w:rsidRPr="00D27FAA">
        <w:rPr>
          <w:rFonts w:asciiTheme="minorHAnsi" w:hAnsiTheme="minorHAnsi"/>
          <w:i/>
          <w:sz w:val="20"/>
          <w:szCs w:val="20"/>
        </w:rPr>
        <w:t>- *note, the original case study suggestion ‘</w:t>
      </w:r>
      <w:r w:rsidR="00785FD9" w:rsidRPr="00D27FAA">
        <w:rPr>
          <w:rFonts w:asciiTheme="minorHAnsi" w:hAnsiTheme="minorHAnsi"/>
          <w:i/>
          <w:sz w:val="20"/>
          <w:szCs w:val="20"/>
          <w:lang w:val="en-US" w:eastAsia="ja-JP"/>
        </w:rPr>
        <w:t>Haiti and online disaster mapping</w:t>
      </w:r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 xml:space="preserve">’ was replaced by </w:t>
      </w:r>
      <w:proofErr w:type="spellStart"/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>Uchaguzi</w:t>
      </w:r>
      <w:proofErr w:type="spellEnd"/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 xml:space="preserve">, as it was a more recent and relevant example of the work of </w:t>
      </w:r>
      <w:proofErr w:type="spellStart"/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>Ushahidi</w:t>
      </w:r>
      <w:proofErr w:type="spellEnd"/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>.</w:t>
      </w:r>
      <w:r w:rsidR="002F53A5">
        <w:rPr>
          <w:rFonts w:asciiTheme="minorHAnsi" w:hAnsiTheme="minorHAnsi"/>
          <w:i/>
          <w:sz w:val="20"/>
          <w:szCs w:val="20"/>
          <w:lang w:val="en-US" w:eastAsia="ja-JP"/>
        </w:rPr>
        <w:t xml:space="preserve"> The partner remained the same.</w:t>
      </w:r>
    </w:p>
    <w:p w14:paraId="2FDA7A30" w14:textId="77777777" w:rsidR="00785FD9" w:rsidRPr="00D27FAA" w:rsidRDefault="00785FD9" w:rsidP="00785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0"/>
          <w:szCs w:val="20"/>
          <w:lang w:val="en-US" w:eastAsia="ja-JP"/>
        </w:rPr>
      </w:pPr>
      <w:proofErr w:type="spellStart"/>
      <w:r w:rsidRPr="00D27FAA">
        <w:rPr>
          <w:rFonts w:asciiTheme="minorHAnsi" w:hAnsiTheme="minorHAnsi"/>
          <w:sz w:val="20"/>
          <w:szCs w:val="20"/>
          <w:lang w:val="en-US" w:eastAsia="ja-JP"/>
        </w:rPr>
        <w:t>Medellín</w:t>
      </w:r>
      <w:proofErr w:type="spellEnd"/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 (Colombia) and digital citizenship (key partner – Un-Convention) – the </w:t>
      </w:r>
      <w:proofErr w:type="spellStart"/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>Medellín</w:t>
      </w:r>
      <w:proofErr w:type="spellEnd"/>
      <w:r w:rsidRPr="00D27FAA">
        <w:rPr>
          <w:rFonts w:asciiTheme="minorHAnsi" w:hAnsiTheme="minorHAnsi"/>
          <w:i/>
          <w:sz w:val="20"/>
          <w:szCs w:val="20"/>
          <w:lang w:val="en-US" w:eastAsia="ja-JP"/>
        </w:rPr>
        <w:t xml:space="preserve"> Digital</w:t>
      </w:r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 </w:t>
      </w:r>
      <w:proofErr w:type="spellStart"/>
      <w:r w:rsidRPr="00D27FAA">
        <w:rPr>
          <w:rFonts w:asciiTheme="minorHAnsi" w:hAnsiTheme="minorHAnsi"/>
          <w:sz w:val="20"/>
          <w:szCs w:val="20"/>
          <w:lang w:val="en-US" w:eastAsia="ja-JP"/>
        </w:rPr>
        <w:t>programme’s</w:t>
      </w:r>
      <w:proofErr w:type="spellEnd"/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 impact on post-conflict recovery and violence prevention in a complex urban setting.</w:t>
      </w:r>
    </w:p>
    <w:p w14:paraId="6B8E4FB6" w14:textId="77777777" w:rsidR="00785FD9" w:rsidRPr="00D27FAA" w:rsidRDefault="00785FD9" w:rsidP="00785F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0"/>
          <w:szCs w:val="20"/>
          <w:lang w:val="en-US" w:eastAsia="ja-JP"/>
        </w:rPr>
      </w:pPr>
      <w:r w:rsidRPr="00D27FAA">
        <w:rPr>
          <w:rFonts w:asciiTheme="minorHAnsi" w:hAnsiTheme="minorHAnsi"/>
          <w:sz w:val="20"/>
          <w:szCs w:val="20"/>
          <w:lang w:val="en-US" w:eastAsia="ja-JP"/>
        </w:rPr>
        <w:t xml:space="preserve">New media and peace building in DR Congo (key partner – Search for a Common Ground) – the use of new media technologies, radio and broadcasting for peace in a technology poor conflict zone. </w:t>
      </w:r>
    </w:p>
    <w:p w14:paraId="4D94F5DF" w14:textId="77777777" w:rsidR="0087523C" w:rsidRPr="00D27FAA" w:rsidRDefault="0087523C">
      <w:pPr>
        <w:rPr>
          <w:b/>
          <w:sz w:val="20"/>
          <w:szCs w:val="20"/>
        </w:rPr>
      </w:pPr>
      <w:r w:rsidRPr="00D27FAA">
        <w:rPr>
          <w:b/>
          <w:sz w:val="20"/>
          <w:szCs w:val="20"/>
        </w:rPr>
        <w:t>Public event</w:t>
      </w:r>
    </w:p>
    <w:p w14:paraId="66A9567C" w14:textId="77777777" w:rsidR="0087523C" w:rsidRPr="00D27FAA" w:rsidRDefault="00600D2F">
      <w:pPr>
        <w:rPr>
          <w:sz w:val="20"/>
          <w:szCs w:val="20"/>
        </w:rPr>
      </w:pPr>
      <w:r w:rsidRPr="00D27FAA">
        <w:rPr>
          <w:sz w:val="20"/>
          <w:szCs w:val="20"/>
        </w:rPr>
        <w:t>A public event took place in partnership with Redeye and Imperial War Museum North, in which case study authors held a panel.</w:t>
      </w:r>
      <w:r w:rsidR="0087523C" w:rsidRPr="00D27FAA">
        <w:rPr>
          <w:sz w:val="20"/>
          <w:szCs w:val="20"/>
        </w:rPr>
        <w:t xml:space="preserve"> The</w:t>
      </w:r>
      <w:r w:rsidR="0087523C" w:rsidRPr="00D27FAA">
        <w:rPr>
          <w:rFonts w:cs="Lucida Grande"/>
          <w:sz w:val="20"/>
          <w:szCs w:val="20"/>
        </w:rPr>
        <w:t xml:space="preserve"> one-day seminar titled ‘Post war press and creative freedom’ explored the global challenges of re-establishing a free press and creative expression after conflict and dictatorship.</w:t>
      </w:r>
    </w:p>
    <w:p w14:paraId="0967B129" w14:textId="77777777" w:rsidR="0087523C" w:rsidRPr="00D27FAA" w:rsidRDefault="0087523C">
      <w:pPr>
        <w:rPr>
          <w:sz w:val="20"/>
          <w:szCs w:val="20"/>
        </w:rPr>
      </w:pPr>
    </w:p>
    <w:p w14:paraId="6A042AC3" w14:textId="77777777" w:rsidR="0087523C" w:rsidRPr="00D27FAA" w:rsidRDefault="00DE0248">
      <w:pPr>
        <w:rPr>
          <w:sz w:val="20"/>
          <w:szCs w:val="20"/>
        </w:rPr>
      </w:pPr>
      <w:hyperlink r:id="rId8" w:history="1">
        <w:r w:rsidR="0087523C" w:rsidRPr="00D27FAA">
          <w:rPr>
            <w:rStyle w:val="Hyperlink"/>
            <w:sz w:val="20"/>
            <w:szCs w:val="20"/>
          </w:rPr>
          <w:t>http://redeye.org.uk/programme/post-war-press-and-creative-freedom</w:t>
        </w:r>
      </w:hyperlink>
    </w:p>
    <w:p w14:paraId="3CE975DF" w14:textId="77777777" w:rsidR="00785FD9" w:rsidRPr="00D27FAA" w:rsidRDefault="0087523C">
      <w:pPr>
        <w:rPr>
          <w:sz w:val="20"/>
          <w:szCs w:val="20"/>
        </w:rPr>
      </w:pPr>
      <w:r w:rsidRPr="00D27FAA">
        <w:rPr>
          <w:sz w:val="20"/>
          <w:szCs w:val="20"/>
        </w:rPr>
        <w:t xml:space="preserve">Speakers included: </w:t>
      </w:r>
      <w:r w:rsidRPr="00D27FAA">
        <w:rPr>
          <w:rFonts w:cs="Cambria"/>
          <w:sz w:val="20"/>
          <w:szCs w:val="20"/>
        </w:rPr>
        <w:t xml:space="preserve">James Thompson (Director of In Place of War), Professor Rob Proctor (University of Warwick), Dima Saber (Birmingham City University), </w:t>
      </w:r>
      <w:proofErr w:type="spellStart"/>
      <w:r w:rsidRPr="00D27FAA">
        <w:rPr>
          <w:rFonts w:cs="Cambria"/>
          <w:sz w:val="20"/>
          <w:szCs w:val="20"/>
        </w:rPr>
        <w:t>Jez</w:t>
      </w:r>
      <w:proofErr w:type="spellEnd"/>
      <w:r w:rsidRPr="00D27FAA">
        <w:rPr>
          <w:rFonts w:cs="Cambria"/>
          <w:sz w:val="20"/>
          <w:szCs w:val="20"/>
        </w:rPr>
        <w:t xml:space="preserve"> Collins (Birmingham City University), Nathaniel Manning (</w:t>
      </w:r>
      <w:proofErr w:type="spellStart"/>
      <w:r w:rsidRPr="00D27FAA">
        <w:rPr>
          <w:rFonts w:cs="Cambria"/>
          <w:sz w:val="20"/>
          <w:szCs w:val="20"/>
        </w:rPr>
        <w:t>Ushahidi</w:t>
      </w:r>
      <w:proofErr w:type="spellEnd"/>
      <w:r w:rsidRPr="00D27FAA">
        <w:rPr>
          <w:rFonts w:cs="Cambria"/>
          <w:sz w:val="20"/>
          <w:szCs w:val="20"/>
        </w:rPr>
        <w:t xml:space="preserve">), Alessandro </w:t>
      </w:r>
      <w:proofErr w:type="spellStart"/>
      <w:r w:rsidRPr="00D27FAA">
        <w:rPr>
          <w:rFonts w:cs="Cambria"/>
          <w:sz w:val="20"/>
          <w:szCs w:val="20"/>
        </w:rPr>
        <w:t>Totoro</w:t>
      </w:r>
      <w:proofErr w:type="spellEnd"/>
      <w:r w:rsidRPr="00D27FAA">
        <w:rPr>
          <w:rFonts w:cs="Cambria"/>
          <w:sz w:val="20"/>
          <w:szCs w:val="20"/>
        </w:rPr>
        <w:t xml:space="preserve"> (Search for a Common Ground, DRC), Theresa Bean (University of Leeds).</w:t>
      </w:r>
    </w:p>
    <w:p w14:paraId="635BCF97" w14:textId="77777777" w:rsidR="00600D2F" w:rsidRPr="00D27FAA" w:rsidRDefault="00600D2F">
      <w:pPr>
        <w:rPr>
          <w:sz w:val="20"/>
          <w:szCs w:val="20"/>
        </w:rPr>
      </w:pPr>
    </w:p>
    <w:p w14:paraId="5437BD0E" w14:textId="77777777" w:rsidR="0087523C" w:rsidRPr="00D27FAA" w:rsidRDefault="0087523C">
      <w:pPr>
        <w:rPr>
          <w:b/>
          <w:sz w:val="20"/>
          <w:szCs w:val="20"/>
        </w:rPr>
      </w:pPr>
      <w:r w:rsidRPr="00D27FAA">
        <w:rPr>
          <w:b/>
          <w:sz w:val="20"/>
          <w:szCs w:val="20"/>
        </w:rPr>
        <w:t>Publications</w:t>
      </w:r>
    </w:p>
    <w:p w14:paraId="795C9CD2" w14:textId="77777777" w:rsidR="0087523C" w:rsidRPr="00D27FAA" w:rsidRDefault="0087523C">
      <w:pPr>
        <w:rPr>
          <w:sz w:val="20"/>
          <w:szCs w:val="20"/>
        </w:rPr>
      </w:pPr>
      <w:r w:rsidRPr="00D27FAA">
        <w:rPr>
          <w:sz w:val="20"/>
          <w:szCs w:val="20"/>
        </w:rPr>
        <w:t xml:space="preserve">We have produced an </w:t>
      </w:r>
      <w:proofErr w:type="spellStart"/>
      <w:r w:rsidRPr="00D27FAA">
        <w:rPr>
          <w:sz w:val="20"/>
          <w:szCs w:val="20"/>
        </w:rPr>
        <w:t>ebook</w:t>
      </w:r>
      <w:proofErr w:type="spellEnd"/>
      <w:r w:rsidRPr="00D27FAA">
        <w:rPr>
          <w:sz w:val="20"/>
          <w:szCs w:val="20"/>
        </w:rPr>
        <w:t xml:space="preserve"> of the reports, which will be available for download on 15</w:t>
      </w:r>
      <w:r w:rsidRPr="00D27FAA">
        <w:rPr>
          <w:sz w:val="20"/>
          <w:szCs w:val="20"/>
          <w:vertAlign w:val="superscript"/>
        </w:rPr>
        <w:t>th</w:t>
      </w:r>
      <w:r w:rsidRPr="00D27FAA">
        <w:rPr>
          <w:sz w:val="20"/>
          <w:szCs w:val="20"/>
        </w:rPr>
        <w:t xml:space="preserve"> May 2014 via the In Place of War website.</w:t>
      </w:r>
    </w:p>
    <w:p w14:paraId="70F92337" w14:textId="77777777" w:rsidR="0087523C" w:rsidRPr="00D27FAA" w:rsidRDefault="0087523C">
      <w:pPr>
        <w:rPr>
          <w:sz w:val="20"/>
          <w:szCs w:val="20"/>
        </w:rPr>
      </w:pPr>
    </w:p>
    <w:p w14:paraId="20C8E9CC" w14:textId="77777777" w:rsidR="00600D2F" w:rsidRPr="00D27FAA" w:rsidRDefault="00600D2F">
      <w:pPr>
        <w:rPr>
          <w:sz w:val="20"/>
          <w:szCs w:val="20"/>
        </w:rPr>
      </w:pPr>
      <w:r w:rsidRPr="00D27FAA">
        <w:rPr>
          <w:sz w:val="20"/>
          <w:szCs w:val="20"/>
        </w:rPr>
        <w:t>We have submitted the reports to Global Policy Review Journal for a special edition and are awaiting feedback.</w:t>
      </w:r>
    </w:p>
    <w:p w14:paraId="56BDF17A" w14:textId="77777777" w:rsidR="0087523C" w:rsidRPr="00D27FAA" w:rsidRDefault="0087523C">
      <w:pPr>
        <w:rPr>
          <w:b/>
          <w:sz w:val="20"/>
          <w:szCs w:val="20"/>
        </w:rPr>
      </w:pPr>
    </w:p>
    <w:p w14:paraId="4FE5C244" w14:textId="77777777" w:rsidR="0087523C" w:rsidRPr="00D27FAA" w:rsidRDefault="0087523C">
      <w:pPr>
        <w:rPr>
          <w:b/>
          <w:sz w:val="20"/>
          <w:szCs w:val="20"/>
        </w:rPr>
      </w:pPr>
      <w:r w:rsidRPr="00D27FAA">
        <w:rPr>
          <w:b/>
          <w:sz w:val="20"/>
          <w:szCs w:val="20"/>
        </w:rPr>
        <w:t>Websites</w:t>
      </w:r>
    </w:p>
    <w:p w14:paraId="3C5A8897" w14:textId="77777777" w:rsidR="0087523C" w:rsidRPr="00D27FAA" w:rsidRDefault="0087523C">
      <w:pPr>
        <w:rPr>
          <w:sz w:val="20"/>
          <w:szCs w:val="20"/>
        </w:rPr>
      </w:pPr>
      <w:r w:rsidRPr="00D27FAA">
        <w:rPr>
          <w:sz w:val="20"/>
          <w:szCs w:val="20"/>
        </w:rPr>
        <w:lastRenderedPageBreak/>
        <w:t xml:space="preserve">We have created a web presence via the In Place of War platform here: </w:t>
      </w:r>
      <w:hyperlink r:id="rId9" w:history="1">
        <w:r w:rsidRPr="00D27FAA">
          <w:rPr>
            <w:rStyle w:val="Hyperlink"/>
            <w:sz w:val="20"/>
            <w:szCs w:val="20"/>
          </w:rPr>
          <w:t>http://www.inplaceofwar.net/humanitarianism-2-dot-0-h20</w:t>
        </w:r>
      </w:hyperlink>
      <w:r w:rsidRPr="00D27FAA">
        <w:rPr>
          <w:sz w:val="20"/>
          <w:szCs w:val="20"/>
        </w:rPr>
        <w:t xml:space="preserve"> </w:t>
      </w:r>
    </w:p>
    <w:sectPr w:rsidR="0087523C" w:rsidRPr="00D27FAA" w:rsidSect="009B351A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4487" w14:textId="77777777" w:rsidR="0087523C" w:rsidRDefault="0087523C" w:rsidP="00600D2F">
      <w:r>
        <w:separator/>
      </w:r>
    </w:p>
  </w:endnote>
  <w:endnote w:type="continuationSeparator" w:id="0">
    <w:p w14:paraId="20B34307" w14:textId="77777777" w:rsidR="0087523C" w:rsidRDefault="0087523C" w:rsidP="0060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D32E" w14:textId="77777777" w:rsidR="0087523C" w:rsidRDefault="0087523C" w:rsidP="00600D2F">
      <w:r>
        <w:separator/>
      </w:r>
    </w:p>
  </w:footnote>
  <w:footnote w:type="continuationSeparator" w:id="0">
    <w:p w14:paraId="30285557" w14:textId="77777777" w:rsidR="0087523C" w:rsidRDefault="0087523C" w:rsidP="0060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8"/>
      <w:gridCol w:w="3336"/>
      <w:gridCol w:w="2562"/>
    </w:tblGrid>
    <w:tr w:rsidR="0087523C" w14:paraId="1C88F8E1" w14:textId="77777777" w:rsidTr="00600D2F">
      <w:tc>
        <w:tcPr>
          <w:tcW w:w="2838" w:type="dxa"/>
        </w:tcPr>
        <w:p w14:paraId="7DAE765F" w14:textId="77777777" w:rsidR="0087523C" w:rsidRDefault="0087523C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53FF294" wp14:editId="314A0D67">
                <wp:extent cx="1492628" cy="579967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628" cy="579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</w:tcPr>
        <w:p w14:paraId="29000C1B" w14:textId="77777777" w:rsidR="0087523C" w:rsidRDefault="00A425B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00F10928" wp14:editId="39F8E3C0">
                <wp:extent cx="1976967" cy="473758"/>
                <wp:effectExtent l="0" t="0" r="4445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967" cy="473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</w:tcPr>
        <w:p w14:paraId="01DD2960" w14:textId="77777777" w:rsidR="0087523C" w:rsidRDefault="0087523C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1C461AA4" wp14:editId="4878B502">
                <wp:extent cx="1456267" cy="61449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c Uni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267" cy="614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C0A1A3" w14:textId="77777777" w:rsidR="0087523C" w:rsidRDefault="00875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018E"/>
    <w:multiLevelType w:val="hybridMultilevel"/>
    <w:tmpl w:val="6532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CC6"/>
    <w:multiLevelType w:val="hybridMultilevel"/>
    <w:tmpl w:val="44BA0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D9"/>
    <w:rsid w:val="002F53A5"/>
    <w:rsid w:val="00600D2F"/>
    <w:rsid w:val="00785FD9"/>
    <w:rsid w:val="0087523C"/>
    <w:rsid w:val="009B351A"/>
    <w:rsid w:val="00A425B6"/>
    <w:rsid w:val="00D27FAA"/>
    <w:rsid w:val="00D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D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D9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0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2F"/>
  </w:style>
  <w:style w:type="paragraph" w:styleId="Footer">
    <w:name w:val="footer"/>
    <w:basedOn w:val="Normal"/>
    <w:link w:val="FooterChar"/>
    <w:uiPriority w:val="99"/>
    <w:unhideWhenUsed/>
    <w:rsid w:val="00600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2F"/>
  </w:style>
  <w:style w:type="table" w:styleId="TableGrid">
    <w:name w:val="Table Grid"/>
    <w:basedOn w:val="TableNormal"/>
    <w:uiPriority w:val="59"/>
    <w:rsid w:val="0060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2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87523C"/>
    <w:pPr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lang w:eastAsia="ja-JP"/>
    </w:rPr>
  </w:style>
  <w:style w:type="character" w:customStyle="1" w:styleId="TitleChar">
    <w:name w:val="Title Char"/>
    <w:basedOn w:val="DefaultParagraphFont"/>
    <w:link w:val="Title"/>
    <w:rsid w:val="0087523C"/>
    <w:rPr>
      <w:rFonts w:ascii="Trebuchet MS" w:eastAsia="Trebuchet MS" w:hAnsi="Trebuchet MS" w:cs="Trebuchet MS"/>
      <w:color w:val="000000"/>
      <w:sz w:val="4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D9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0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2F"/>
  </w:style>
  <w:style w:type="paragraph" w:styleId="Footer">
    <w:name w:val="footer"/>
    <w:basedOn w:val="Normal"/>
    <w:link w:val="FooterChar"/>
    <w:uiPriority w:val="99"/>
    <w:unhideWhenUsed/>
    <w:rsid w:val="00600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2F"/>
  </w:style>
  <w:style w:type="table" w:styleId="TableGrid">
    <w:name w:val="Table Grid"/>
    <w:basedOn w:val="TableNormal"/>
    <w:uiPriority w:val="59"/>
    <w:rsid w:val="0060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2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87523C"/>
    <w:pPr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lang w:eastAsia="ja-JP"/>
    </w:rPr>
  </w:style>
  <w:style w:type="character" w:customStyle="1" w:styleId="TitleChar">
    <w:name w:val="Title Char"/>
    <w:basedOn w:val="DefaultParagraphFont"/>
    <w:link w:val="Title"/>
    <w:rsid w:val="0087523C"/>
    <w:rPr>
      <w:rFonts w:ascii="Trebuchet MS" w:eastAsia="Trebuchet MS" w:hAnsi="Trebuchet MS" w:cs="Trebuchet MS"/>
      <w:color w:val="000000"/>
      <w:sz w:val="4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eye.org.uk/programme/post-war-press-and-creative-freed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laceofwar.net/humanitarianism-2-dot-0-h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Un-Convention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Daniel</dc:creator>
  <cp:lastModifiedBy>Boyle, Christine</cp:lastModifiedBy>
  <cp:revision>2</cp:revision>
  <dcterms:created xsi:type="dcterms:W3CDTF">2014-09-15T14:30:00Z</dcterms:created>
  <dcterms:modified xsi:type="dcterms:W3CDTF">2014-09-15T14:30:00Z</dcterms:modified>
</cp:coreProperties>
</file>